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color w:val="ac0502"/>
          <w:sz w:val="28"/>
          <w:szCs w:val="28"/>
        </w:rPr>
      </w:pPr>
      <w:r w:rsidDel="00000000" w:rsidR="00000000" w:rsidRPr="00000000">
        <w:rPr>
          <w:b w:val="1"/>
          <w:color w:val="ac0502"/>
          <w:sz w:val="28"/>
          <w:szCs w:val="28"/>
          <w:rtl w:val="0"/>
        </w:rPr>
        <w:t xml:space="preserve">Associate of Arts in Business Administration </w:t>
      </w:r>
      <w:r w:rsidDel="00000000" w:rsidR="00000000" w:rsidRPr="00000000">
        <w:rPr>
          <w:rtl w:val="0"/>
        </w:rPr>
      </w:r>
    </w:p>
    <w:p w:rsidR="00000000" w:rsidDel="00000000" w:rsidP="00000000" w:rsidRDefault="00000000" w:rsidRPr="00000000" w14:paraId="00000002">
      <w:pPr>
        <w:spacing w:after="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Program Learning Outcomes Curriculum Map and Plan</w:t>
      </w:r>
      <w:r w:rsidDel="00000000" w:rsidR="00000000" w:rsidRPr="00000000">
        <w:rPr>
          <w:rFonts w:ascii="Calibri" w:cs="Calibri" w:eastAsia="Calibri" w:hAnsi="Calibri"/>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Updated 2023.0</w:t>
      </w:r>
      <w:r w:rsidDel="00000000" w:rsidR="00000000" w:rsidRPr="00000000">
        <w:rPr>
          <w:sz w:val="24"/>
          <w:szCs w:val="24"/>
          <w:rtl w:val="0"/>
        </w:rPr>
        <w:t xml:space="preserve">7</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13</w:t>
      </w:r>
      <w:r w:rsidDel="00000000" w:rsidR="00000000" w:rsidRPr="00000000">
        <w:rPr>
          <w:rtl w:val="0"/>
        </w:rPr>
      </w:r>
    </w:p>
    <w:tbl>
      <w:tblPr>
        <w:tblStyle w:val="Table1"/>
        <w:tblW w:w="14730.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6585"/>
        <w:gridCol w:w="660"/>
        <w:gridCol w:w="600"/>
        <w:gridCol w:w="945"/>
        <w:gridCol w:w="600"/>
        <w:gridCol w:w="1095"/>
        <w:gridCol w:w="720"/>
        <w:gridCol w:w="795"/>
        <w:gridCol w:w="975"/>
        <w:gridCol w:w="750"/>
        <w:gridCol w:w="1005"/>
        <w:tblGridChange w:id="0">
          <w:tblGrid>
            <w:gridCol w:w="6585"/>
            <w:gridCol w:w="660"/>
            <w:gridCol w:w="600"/>
            <w:gridCol w:w="945"/>
            <w:gridCol w:w="600"/>
            <w:gridCol w:w="1095"/>
            <w:gridCol w:w="720"/>
            <w:gridCol w:w="795"/>
            <w:gridCol w:w="975"/>
            <w:gridCol w:w="750"/>
            <w:gridCol w:w="1005"/>
          </w:tblGrid>
        </w:tblGridChange>
      </w:tblGrid>
      <w:tr>
        <w:trPr>
          <w:cantSplit w:val="0"/>
          <w:trHeight w:val="1068.2432432432433" w:hRule="atLeast"/>
          <w:tblHeader w:val="1"/>
        </w:trPr>
        <w:tc>
          <w:tcPr>
            <w:tcBorders>
              <w:top w:color="000000" w:space="0" w:sz="0" w:val="nil"/>
              <w:bottom w:color="000000" w:space="0" w:sz="4" w:val="single"/>
            </w:tcBorders>
            <w:shd w:fill="auto" w:val="clear"/>
            <w:vAlign w:val="bottom"/>
          </w:tcPr>
          <w:p w:rsidR="00000000" w:rsidDel="00000000" w:rsidP="00000000" w:rsidRDefault="00000000" w:rsidRPr="00000000" w14:paraId="00000004">
            <w:pPr>
              <w:spacing w:after="120" w:before="120" w:line="240" w:lineRule="auto"/>
              <w:ind w:left="-96" w:right="-67"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Program learning outcomes: </w:t>
            </w:r>
            <w:r w:rsidDel="00000000" w:rsidR="00000000" w:rsidRPr="00000000">
              <w:rPr>
                <w:rFonts w:ascii="Times New Roman" w:cs="Times New Roman" w:eastAsia="Times New Roman" w:hAnsi="Times New Roman"/>
                <w:i w:val="1"/>
                <w:color w:val="000000"/>
                <w:sz w:val="26"/>
                <w:szCs w:val="26"/>
                <w:rtl w:val="0"/>
              </w:rPr>
              <w:t xml:space="preserve">Graduates should be able to…</w:t>
            </w: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0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101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111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201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202</w:t>
            </w:r>
          </w:p>
        </w:tc>
        <w:tc>
          <w:tcPr>
            <w:tcBorders>
              <w:top w:color="000000" w:space="0" w:sz="0" w:val="nil"/>
              <w:bottom w:color="000000" w:space="0" w:sz="4" w:val="single"/>
            </w:tcBorders>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205</w:t>
            </w:r>
          </w:p>
        </w:tc>
        <w:tc>
          <w:tcPr>
            <w:tcBorders>
              <w:top w:color="000000" w:space="0" w:sz="0" w:val="nil"/>
              <w:bottom w:color="000000" w:space="0" w:sz="4" w:val="single"/>
            </w:tcBorders>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221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222</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230</w:t>
            </w:r>
          </w:p>
        </w:tc>
        <w:tc>
          <w:tcPr>
            <w:tcBorders>
              <w:top w:color="000000" w:space="0" w:sz="0" w:val="nil"/>
              <w:bottom w:color="000000" w:space="0" w:sz="4" w:val="single"/>
            </w:tcBorders>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243</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 241 or 276</w:t>
            </w:r>
          </w:p>
        </w:tc>
      </w:tr>
      <w:tr>
        <w:trPr>
          <w:cantSplit w:val="0"/>
          <w:trHeight w:val="480" w:hRule="atLeast"/>
          <w:tblHeader w:val="0"/>
        </w:trPr>
        <w:tc>
          <w:tcPr>
            <w:shd w:fill="auto" w:val="clear"/>
          </w:tcPr>
          <w:p w:rsidR="00000000" w:rsidDel="00000000" w:rsidP="00000000" w:rsidRDefault="00000000" w:rsidRPr="00000000" w14:paraId="0000000F">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foundational business knowledge in accounting, economics, and management utilizing concepts with appropriate terminology and theory.</w:t>
            </w:r>
          </w:p>
        </w:tc>
        <w:tc>
          <w:tcPr/>
          <w:p w:rsidR="00000000" w:rsidDel="00000000" w:rsidP="00000000" w:rsidRDefault="00000000" w:rsidRPr="00000000" w14:paraId="0000001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4" w:val="single"/>
            </w:tcBorders>
            <w:shd w:fill="auto" w:val="clear"/>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shd w:fill="auto" w:val="clear"/>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4" w:val="single"/>
            </w:tcBorders>
            <w:shd w:fill="auto" w:val="clear"/>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shd w:fill="auto" w:val="clear"/>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4" w:val="single"/>
            </w:tcBorders>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tcBorders>
              <w:top w:color="000000" w:space="0" w:sz="4" w:val="single"/>
            </w:tcBorders>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br w:type="textWrapping"/>
              <w:t xml:space="preserve">(2022-23)</w:t>
            </w:r>
          </w:p>
        </w:tc>
      </w:tr>
      <w:tr>
        <w:trPr>
          <w:cantSplit w:val="0"/>
          <w:trHeight w:val="615" w:hRule="atLeast"/>
          <w:tblHeader w:val="0"/>
        </w:trPr>
        <w:tc>
          <w:tcPr>
            <w:shd w:fill="auto" w:val="clear"/>
          </w:tcPr>
          <w:p w:rsidR="00000000" w:rsidDel="00000000" w:rsidP="00000000" w:rsidRDefault="00000000" w:rsidRPr="00000000" w14:paraId="0000001A">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using business concepts and articulate using terminology with applicable technologies.</w:t>
            </w:r>
          </w:p>
        </w:tc>
        <w:tc>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1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br w:type="textWrapping"/>
              <w:t xml:space="preserve">(2023-24)</w:t>
            </w:r>
          </w:p>
        </w:tc>
        <w:tc>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r>
      <w:tr>
        <w:trPr>
          <w:cantSplit w:val="0"/>
          <w:trHeight w:val="540" w:hRule="atLeast"/>
          <w:tblHeader w:val="0"/>
        </w:trPr>
        <w:tc>
          <w:tcPr>
            <w:shd w:fill="auto" w:val="clear"/>
          </w:tcPr>
          <w:p w:rsidR="00000000" w:rsidDel="00000000" w:rsidP="00000000" w:rsidRDefault="00000000" w:rsidRPr="00000000" w14:paraId="00000025">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and exhibit standards of professional practice, ethical behavior, and social responsibilities in a rapidly changing professional environment.</w:t>
            </w:r>
          </w:p>
        </w:tc>
        <w:tc>
          <w:tcPr/>
          <w:p w:rsidR="00000000" w:rsidDel="00000000" w:rsidP="00000000" w:rsidRDefault="00000000" w:rsidRPr="00000000" w14:paraId="0000002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2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D">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br w:type="textWrapping"/>
              <w:t xml:space="preserve">(2024-25)</w:t>
            </w:r>
          </w:p>
        </w:tc>
        <w:tc>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p w:rsidR="00000000" w:rsidDel="00000000" w:rsidP="00000000" w:rsidRDefault="00000000" w:rsidRPr="00000000" w14:paraId="00000030">
            <w:pPr>
              <w:spacing w:after="120" w:before="120" w:line="240" w:lineRule="auto"/>
              <w:ind w:left="-100" w:right="-98" w:firstLine="0"/>
              <w:jc w:val="center"/>
              <w:rPr>
                <w:rFonts w:ascii="Times New Roman" w:cs="Times New Roman" w:eastAsia="Times New Roman" w:hAnsi="Times New Roman"/>
              </w:rPr>
            </w:pPr>
            <w:r w:rsidDel="00000000" w:rsidR="00000000" w:rsidRPr="00000000">
              <w:rPr>
                <w:rtl w:val="0"/>
              </w:rPr>
            </w:r>
          </w:p>
        </w:tc>
      </w:tr>
      <w:tr>
        <w:trPr>
          <w:cantSplit w:val="0"/>
          <w:trHeight w:val="630" w:hRule="atLeast"/>
          <w:tblHeader w:val="0"/>
        </w:trPr>
        <w:tc>
          <w:tcPr>
            <w:shd w:fill="auto" w:val="clear"/>
          </w:tcPr>
          <w:p w:rsidR="00000000" w:rsidDel="00000000" w:rsidP="00000000" w:rsidRDefault="00000000" w:rsidRPr="00000000" w14:paraId="00000031">
            <w:pPr>
              <w:numPr>
                <w:ilvl w:val="0"/>
                <w:numId w:val="1"/>
              </w:numPr>
              <w:spacing w:after="120" w:before="120" w:line="240" w:lineRule="auto"/>
              <w:ind w:left="25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policy and use decision making abilities using various approaches.</w:t>
            </w:r>
          </w:p>
        </w:tc>
        <w:tc>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034">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br w:type="textWrapping"/>
              <w:t xml:space="preserve">(2025-26)</w:t>
            </w:r>
          </w:p>
        </w:tc>
        <w:tc>
          <w:tcPr>
            <w:shd w:fill="auto" w:val="clear"/>
          </w:tcPr>
          <w:p w:rsidR="00000000" w:rsidDel="00000000" w:rsidP="00000000" w:rsidRDefault="00000000" w:rsidRPr="00000000" w14:paraId="00000035">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36">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37">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shd w:fill="auto" w:val="clear"/>
          </w:tcPr>
          <w:p w:rsidR="00000000" w:rsidDel="00000000" w:rsidP="00000000" w:rsidRDefault="00000000" w:rsidRPr="00000000" w14:paraId="00000038">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shd w:fill="auto" w:val="clear"/>
          </w:tcPr>
          <w:p w:rsidR="00000000" w:rsidDel="00000000" w:rsidP="00000000" w:rsidRDefault="00000000" w:rsidRPr="00000000" w14:paraId="00000039">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3A">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c>
          <w:tcPr/>
          <w:p w:rsidR="00000000" w:rsidDel="00000000" w:rsidP="00000000" w:rsidRDefault="00000000" w:rsidRPr="00000000" w14:paraId="0000003B">
            <w:pPr>
              <w:spacing w:after="120" w:before="120" w:line="240" w:lineRule="auto"/>
              <w:ind w:left="-100" w:right="-9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
          <w:szCs w:val="2"/>
          <w:u w:val="single"/>
          <w:shd w:fill="auto" w:val="clear"/>
          <w:vertAlign w:val="baselin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6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w:t>
      </w:r>
      <w:r w:rsidDel="00000000" w:rsidR="00000000" w:rsidRPr="00000000">
        <w:rPr>
          <w:rFonts w:ascii="Times New Roman" w:cs="Times New Roman" w:eastAsia="Times New Roman" w:hAnsi="Times New Roman"/>
          <w:sz w:val="20"/>
          <w:szCs w:val="20"/>
          <w:rtl w:val="0"/>
        </w:rPr>
        <w:t xml:space="preserve">Jamie Riley, Neva Tall Bear, Amber Cummins, Sharon Peregoy, and Jonah Morsette. </w:t>
      </w:r>
    </w:p>
  </w:footnote>
  <w:footnote w:id="1">
    <w:p w:rsidR="00000000" w:rsidDel="00000000" w:rsidP="00000000" w:rsidRDefault="00000000" w:rsidRPr="00000000" w14:paraId="00000040">
      <w:pPr>
        <w:spacing w:after="0" w:before="120" w:line="240" w:lineRule="auto"/>
        <w:rPr>
          <w:rFonts w:ascii="Times New Roman" w:cs="Times New Roman" w:eastAsia="Times New Roman" w:hAnsi="Times New Roman"/>
          <w:sz w:val="20"/>
          <w:szCs w:val="20"/>
          <w:highlight w:val="white"/>
          <w:u w:val="singl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1 is assessed in BU 241, small business management, in the simulation reflections final.  </w:t>
      </w:r>
      <w:r w:rsidDel="00000000" w:rsidR="00000000" w:rsidRPr="00000000">
        <w:rPr>
          <w:rtl w:val="0"/>
        </w:rPr>
      </w:r>
    </w:p>
  </w:footnote>
  <w:footnote w:id="2">
    <w:p w:rsidR="00000000" w:rsidDel="00000000" w:rsidP="00000000" w:rsidRDefault="00000000" w:rsidRPr="00000000" w14:paraId="00000041">
      <w:pPr>
        <w:spacing w:after="0" w:before="120"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Program learning outcome 2 is assessed in BU 205, business law, in the discussion assignment 2. </w:t>
      </w:r>
    </w:p>
  </w:footnote>
  <w:footnote w:id="3">
    <w:p w:rsidR="00000000" w:rsidDel="00000000" w:rsidP="00000000" w:rsidRDefault="00000000" w:rsidRPr="00000000" w14:paraId="00000042">
      <w:pPr>
        <w:spacing w:after="0" w:before="12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3 is assessed in BU 230, organizational behavior, in the final exam.</w:t>
      </w:r>
    </w:p>
  </w:footnote>
  <w:footnote w:id="4">
    <w:p w:rsidR="00000000" w:rsidDel="00000000" w:rsidP="00000000" w:rsidRDefault="00000000" w:rsidRPr="00000000" w14:paraId="00000043">
      <w:pPr>
        <w:spacing w:after="0" w:before="12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Program learning outcome 4 is assessed in BU 201, principles of macroeconomics, in the chapter 10 discussion questions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A55E3"/>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dM6P8WFQkHvOnLuAaR5E4OiIUg==">CgMxLjAyCGguZ2pkZ3hzOAByITFqLW5rQk1uWTVFNU5ObmljZUc5RFhfTThsSW5XRjEyag==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2023-02-04T23:57:00Z</dcterms:created>
  <dc:creator>amkarlberg</dc:creator>
</cp:coreProperties>
</file>