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color w:val="ac0502"/>
          <w:sz w:val="28"/>
          <w:szCs w:val="28"/>
          <w:highlight w:val="yellow"/>
        </w:rPr>
      </w:pPr>
      <w:r w:rsidDel="00000000" w:rsidR="00000000" w:rsidRPr="00000000">
        <w:rPr>
          <w:b w:val="1"/>
          <w:color w:val="ac0502"/>
          <w:sz w:val="28"/>
          <w:szCs w:val="28"/>
          <w:rtl w:val="0"/>
        </w:rPr>
        <w:t xml:space="preserve">LBHC Certificate in Highway Construction</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Program Learning Outcomes Curriculum Map and Plan</w:t>
      </w:r>
      <w:r w:rsidDel="00000000" w:rsidR="00000000" w:rsidRPr="00000000">
        <w:rPr>
          <w:rFonts w:ascii="Calibri" w:cs="Calibri" w:eastAsia="Calibri" w:hAnsi="Calibri"/>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rFonts w:ascii="Calibri" w:cs="Calibri" w:eastAsia="Calibri" w:hAnsi="Calibri"/>
          <w:sz w:val="24"/>
          <w:szCs w:val="24"/>
          <w:rtl w:val="0"/>
        </w:rPr>
        <w:t xml:space="preserve">Updated </w:t>
      </w:r>
      <w:r w:rsidDel="00000000" w:rsidR="00000000" w:rsidRPr="00000000">
        <w:rPr>
          <w:sz w:val="24"/>
          <w:szCs w:val="24"/>
          <w:rtl w:val="0"/>
        </w:rPr>
        <w:t xml:space="preserve">06.27.2024</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6.141966141967"/>
        <w:gridCol w:w="1054.2322542322543"/>
        <w:gridCol w:w="1054.2322542322543"/>
        <w:gridCol w:w="1054.2322542322543"/>
        <w:gridCol w:w="1054.2322542322543"/>
        <w:gridCol w:w="1054.2322542322543"/>
        <w:gridCol w:w="1054.2322542322543"/>
        <w:gridCol w:w="1054.2322542322543"/>
        <w:gridCol w:w="1054.2322542322543"/>
        <w:tblGridChange w:id="0">
          <w:tblGrid>
            <w:gridCol w:w="5966.141966141967"/>
            <w:gridCol w:w="1054.2322542322543"/>
            <w:gridCol w:w="1054.2322542322543"/>
            <w:gridCol w:w="1054.2322542322543"/>
            <w:gridCol w:w="1054.2322542322543"/>
            <w:gridCol w:w="1054.2322542322543"/>
            <w:gridCol w:w="1054.2322542322543"/>
            <w:gridCol w:w="1054.2322542322543"/>
            <w:gridCol w:w="1054.2322542322543"/>
          </w:tblGrid>
        </w:tblGridChange>
      </w:tblGrid>
      <w:tr>
        <w:trPr>
          <w:cantSplit w:val="0"/>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learning outcomes: </w:t>
            </w:r>
            <w:r w:rsidDel="00000000" w:rsidR="00000000" w:rsidRPr="00000000">
              <w:rPr>
                <w:rFonts w:ascii="Times New Roman" w:cs="Times New Roman" w:eastAsia="Times New Roman" w:hAnsi="Times New Roman"/>
                <w:i w:val="1"/>
                <w:color w:val="000000"/>
                <w:sz w:val="24"/>
                <w:szCs w:val="24"/>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CA 085</w:t>
              <w:br w:type="textWrapping"/>
              <w:t xml:space="preserve"> or 101</w:t>
            </w:r>
            <w:r w:rsidDel="00000000" w:rsidR="00000000" w:rsidRPr="00000000">
              <w:rPr>
                <w:rFonts w:ascii="Times New Roman" w:cs="Times New Roman" w:eastAsia="Times New Roman" w:hAnsi="Times New Roman"/>
                <w:sz w:val="18"/>
                <w:szCs w:val="18"/>
                <w:rtl w:val="0"/>
              </w:rPr>
              <w:t xml:space="preserve"> </w:t>
              <w:br w:type="textWrapping"/>
            </w:r>
            <w:r w:rsidDel="00000000" w:rsidR="00000000" w:rsidRPr="00000000">
              <w:rPr>
                <w:rFonts w:ascii="Times New Roman" w:cs="Times New Roman" w:eastAsia="Times New Roman" w:hAnsi="Times New Roman"/>
                <w:sz w:val="14"/>
                <w:szCs w:val="14"/>
                <w:rtl w:val="0"/>
              </w:rPr>
              <w:t xml:space="preserve">(writing) </w:t>
            </w:r>
          </w:p>
        </w:tc>
        <w:tc>
          <w:tcPr>
            <w:tcBorders>
              <w:top w:color="000000" w:space="0" w:sz="4" w:val="single"/>
              <w:bottom w:color="000000" w:space="0" w:sz="4" w:val="single"/>
            </w:tcBorders>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14"/>
                <w:szCs w:val="14"/>
                <w:highlight w:val="yellow"/>
              </w:rPr>
            </w:pPr>
            <w:r w:rsidDel="00000000" w:rsidR="00000000" w:rsidRPr="00000000">
              <w:rPr>
                <w:rFonts w:ascii="Times New Roman" w:cs="Times New Roman" w:eastAsia="Times New Roman" w:hAnsi="Times New Roman"/>
                <w:rtl w:val="0"/>
              </w:rPr>
              <w:t xml:space="preserve">MA</w:t>
              <w:br w:type="textWrapping"/>
              <w:t xml:space="preserve">111</w:t>
              <w:br w:type="textWrapping"/>
            </w:r>
            <w:r w:rsidDel="00000000" w:rsidR="00000000" w:rsidRPr="00000000">
              <w:rPr>
                <w:rFonts w:ascii="Times New Roman" w:cs="Times New Roman" w:eastAsia="Times New Roman" w:hAnsi="Times New Roman"/>
                <w:sz w:val="14"/>
                <w:szCs w:val="14"/>
                <w:rtl w:val="0"/>
              </w:rPr>
              <w:t xml:space="preserve">(math)</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CA</w:t>
              <w:br w:type="textWrapping"/>
              <w:t xml:space="preserve">112</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sz w:val="14"/>
                <w:szCs w:val="14"/>
                <w:rtl w:val="0"/>
              </w:rPr>
              <w:t xml:space="preserve">(public speak)</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HEO</w:t>
              <w:br w:type="textWrapping"/>
              <w:t xml:space="preserve">101</w:t>
              <w:br w:type="textWrapping"/>
            </w:r>
            <w:r w:rsidDel="00000000" w:rsidR="00000000" w:rsidRPr="00000000">
              <w:rPr>
                <w:rFonts w:ascii="Times New Roman" w:cs="Times New Roman" w:eastAsia="Times New Roman" w:hAnsi="Times New Roman"/>
                <w:sz w:val="14"/>
                <w:szCs w:val="14"/>
                <w:rtl w:val="0"/>
              </w:rPr>
              <w:t xml:space="preserve">(heavy equip)</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HEO</w:t>
              <w:br w:type="textWrapping"/>
              <w:t xml:space="preserve">102</w:t>
              <w:br w:type="textWrapping"/>
            </w:r>
            <w:r w:rsidDel="00000000" w:rsidR="00000000" w:rsidRPr="00000000">
              <w:rPr>
                <w:rFonts w:ascii="Times New Roman" w:cs="Times New Roman" w:eastAsia="Times New Roman" w:hAnsi="Times New Roman"/>
                <w:sz w:val="14"/>
                <w:szCs w:val="14"/>
                <w:rtl w:val="0"/>
              </w:rPr>
              <w:t xml:space="preserve">(equip operations lab)</w:t>
            </w: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CDL</w:t>
              <w:br w:type="textWrapping"/>
              <w:t xml:space="preserve">101</w:t>
              <w:br w:type="textWrapping"/>
            </w:r>
            <w:r w:rsidDel="00000000" w:rsidR="00000000" w:rsidRPr="00000000">
              <w:rPr>
                <w:rFonts w:ascii="Times New Roman" w:cs="Times New Roman" w:eastAsia="Times New Roman" w:hAnsi="Times New Roman"/>
                <w:sz w:val="14"/>
                <w:szCs w:val="14"/>
                <w:rtl w:val="0"/>
              </w:rPr>
              <w:t xml:space="preserve">(truck driving)</w:t>
            </w: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CDL</w:t>
              <w:br w:type="textWrapping"/>
              <w:t xml:space="preserve">102</w:t>
              <w:br w:type="textWrapping"/>
            </w:r>
            <w:r w:rsidDel="00000000" w:rsidR="00000000" w:rsidRPr="00000000">
              <w:rPr>
                <w:rFonts w:ascii="Times New Roman" w:cs="Times New Roman" w:eastAsia="Times New Roman" w:hAnsi="Times New Roman"/>
                <w:sz w:val="14"/>
                <w:szCs w:val="14"/>
                <w:rtl w:val="0"/>
              </w:rPr>
              <w:t xml:space="preserve">(vehicle operations lab)</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TRD</w:t>
              <w:br w:type="textWrapping"/>
              <w:t xml:space="preserve">100</w:t>
              <w:br w:type="textWrapping"/>
            </w:r>
            <w:r w:rsidDel="00000000" w:rsidR="00000000" w:rsidRPr="00000000">
              <w:rPr>
                <w:rFonts w:ascii="Times New Roman" w:cs="Times New Roman" w:eastAsia="Times New Roman" w:hAnsi="Times New Roman"/>
                <w:sz w:val="14"/>
                <w:szCs w:val="14"/>
                <w:rtl w:val="0"/>
              </w:rPr>
              <w:t xml:space="preserve">(OSHA 10)</w:t>
            </w: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55"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inspect, and safely operate several types of construction equipment (e.g., a backhoe, wheel loader, and mini excavator).</w:t>
            </w:r>
          </w:p>
        </w:tc>
        <w:tc>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tcBorders>
              <w:top w:color="000000" w:space="0" w:sz="4" w:val="single"/>
            </w:tcBorders>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(2023-24)</w:t>
            </w:r>
            <w:r w:rsidDel="00000000" w:rsidR="00000000" w:rsidRPr="00000000">
              <w:rPr>
                <w:rtl w:val="0"/>
              </w:rPr>
            </w:r>
          </w:p>
        </w:tc>
        <w:tc>
          <w:tcPr>
            <w:tcBorders>
              <w:top w:color="000000" w:space="0" w:sz="4" w:val="single"/>
            </w:tcBorders>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tcBorders>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r>
      <w:tr>
        <w:trPr>
          <w:cantSplit w:val="0"/>
          <w:trHeight w:val="15" w:hRule="atLeast"/>
          <w:tblHeader w:val="0"/>
        </w:trPr>
        <w:tc>
          <w:tcPr/>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55"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pre-trip inspection of commercial vehicles (e.g., semi-trucks). </w:t>
            </w:r>
          </w:p>
        </w:tc>
        <w:tc>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D">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br w:type="textWrapping"/>
              <w:t xml:space="preserve">(2024-25)</w:t>
            </w:r>
          </w:p>
        </w:tc>
        <w:tc>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55"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Operate commercial vehicles (e.g., semi-trucks) on public highways while pulling a trailer.</w:t>
            </w:r>
          </w:p>
        </w:tc>
        <w:tc>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br w:type="textWrapping"/>
              <w:t xml:space="preserve">(2025-26)</w:t>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r>
      <w:tr>
        <w:trPr>
          <w:cantSplit w:val="0"/>
          <w:trHeight w:val="325.95703125" w:hRule="atLeast"/>
          <w:tblHeader w:val="0"/>
        </w:trPr>
        <w:tc>
          <w:tcPr/>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55"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with others using industry-appropriate terminology.</w:t>
            </w:r>
          </w:p>
        </w:tc>
        <w:tc>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br w:type="textWrapping"/>
              <w:t xml:space="preserve">(2026-27)</w:t>
            </w:r>
          </w:p>
        </w:tc>
        <w:tc>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r>
      <w:tr>
        <w:trPr>
          <w:cantSplit w:val="0"/>
          <w:tblHeader w:val="0"/>
        </w:trPr>
        <w:tc>
          <w:tcPr/>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55"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construction math to complete highway construction projects. </w:t>
            </w:r>
          </w:p>
        </w:tc>
        <w:tc>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35">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br w:type="textWrapping"/>
              <w:t xml:space="preserve">(2027-28)</w:t>
            </w:r>
          </w:p>
        </w:tc>
        <w:tc>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Tucker and </w:t>
      </w:r>
      <w:r w:rsidDel="00000000" w:rsidR="00000000" w:rsidRPr="00000000">
        <w:rPr>
          <w:rFonts w:ascii="Times New Roman" w:cs="Times New Roman" w:eastAsia="Times New Roman" w:hAnsi="Times New Roman"/>
          <w:sz w:val="20"/>
          <w:szCs w:val="20"/>
          <w:rtl w:val="0"/>
        </w:rPr>
        <w:t xml:space="preserve">Berthina. </w:t>
      </w:r>
    </w:p>
  </w:footnote>
  <w:footnote w:id="2">
    <w:p w:rsidR="00000000" w:rsidDel="00000000" w:rsidP="00000000" w:rsidRDefault="00000000" w:rsidRPr="00000000" w14:paraId="0000003F">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2 is assessed in </w:t>
      </w:r>
      <w:r w:rsidDel="00000000" w:rsidR="00000000" w:rsidRPr="00000000">
        <w:rPr>
          <w:rFonts w:ascii="Times New Roman" w:cs="Times New Roman" w:eastAsia="Times New Roman" w:hAnsi="Times New Roman"/>
          <w:rtl w:val="0"/>
        </w:rPr>
        <w:t xml:space="preserve">CDL 102 (vehicle operations lab) </w:t>
      </w:r>
      <w:r w:rsidDel="00000000" w:rsidR="00000000" w:rsidRPr="00000000">
        <w:rPr>
          <w:rFonts w:ascii="Times New Roman" w:cs="Times New Roman" w:eastAsia="Times New Roman" w:hAnsi="Times New Roman"/>
          <w:sz w:val="20"/>
          <w:szCs w:val="20"/>
          <w:rtl w:val="0"/>
        </w:rPr>
        <w:t xml:space="preserve">in unit quizzes, lab, and final exam.</w:t>
      </w:r>
      <w:r w:rsidDel="00000000" w:rsidR="00000000" w:rsidRPr="00000000">
        <w:rPr>
          <w:rtl w:val="0"/>
        </w:rPr>
      </w:r>
    </w:p>
  </w:footnote>
  <w:footnote w:id="1">
    <w:p w:rsidR="00000000" w:rsidDel="00000000" w:rsidP="00000000" w:rsidRDefault="00000000" w:rsidRPr="00000000" w14:paraId="00000042">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1 is assessed in </w:t>
      </w:r>
      <w:r w:rsidDel="00000000" w:rsidR="00000000" w:rsidRPr="00000000">
        <w:rPr>
          <w:rFonts w:ascii="Times New Roman" w:cs="Times New Roman" w:eastAsia="Times New Roman" w:hAnsi="Times New Roman"/>
          <w:sz w:val="20"/>
          <w:szCs w:val="20"/>
          <w:rtl w:val="0"/>
        </w:rPr>
        <w:t xml:space="preserve">HEO 102 (equipment operations lab) in equipment chapter tests, lab tests, and lab final.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3">
    <w:p w:rsidR="00000000" w:rsidDel="00000000" w:rsidP="00000000" w:rsidRDefault="00000000" w:rsidRPr="00000000" w14:paraId="00000043">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is assessed in </w:t>
      </w:r>
      <w:r w:rsidDel="00000000" w:rsidR="00000000" w:rsidRPr="00000000">
        <w:rPr>
          <w:rFonts w:ascii="Times New Roman" w:cs="Times New Roman" w:eastAsia="Times New Roman" w:hAnsi="Times New Roman"/>
          <w:rtl w:val="0"/>
        </w:rPr>
        <w:t xml:space="preserve">CDL 102 (vehicle operations lab)</w:t>
      </w:r>
      <w:r w:rsidDel="00000000" w:rsidR="00000000" w:rsidRPr="00000000">
        <w:rPr>
          <w:rFonts w:ascii="Times New Roman" w:cs="Times New Roman" w:eastAsia="Times New Roman" w:hAnsi="Times New Roman"/>
          <w:sz w:val="20"/>
          <w:szCs w:val="20"/>
          <w:rtl w:val="0"/>
        </w:rPr>
        <w:t xml:space="preserve"> in lab participation and the final exam.</w:t>
      </w:r>
      <w:r w:rsidDel="00000000" w:rsidR="00000000" w:rsidRPr="00000000">
        <w:rPr>
          <w:rtl w:val="0"/>
        </w:rPr>
      </w:r>
    </w:p>
  </w:footnote>
  <w:footnote w:id="4">
    <w:p w:rsidR="00000000" w:rsidDel="00000000" w:rsidP="00000000" w:rsidRDefault="00000000" w:rsidRPr="00000000" w14:paraId="00000044">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4 is assessed in CDL 101 (truck driving) in lab participation and the final exam.</w:t>
      </w:r>
    </w:p>
  </w:footnote>
  <w:footnote w:id="5">
    <w:p w:rsidR="00000000" w:rsidDel="00000000" w:rsidP="00000000" w:rsidRDefault="00000000" w:rsidRPr="00000000" w14:paraId="00000045">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5 is assessed in HEO 101 (heavy equipment) in chapter quizzes and the final exam.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55E3"/>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6maj8LqK5DEoj2+c4qKCOLOi4w==">CgMxLjAyCGguZ2pkZ3hzOAByITFFSXhmNUsyTDJyUmRERnE1QmRFOE9wVjA3NFoxdkx1VA==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2023-02-04T23:57:00Z</dcterms:created>
  <dc:creator>amkarlberg</dc:creator>
</cp:coreProperties>
</file>